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Default="00CD73D9" w:rsidP="00CD73D9">
      <w:pPr>
        <w:ind w:left="1134" w:right="1636"/>
        <w:jc w:val="center"/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EF3453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6"/>
          <w:szCs w:val="26"/>
        </w:rPr>
      </w:pPr>
      <w:r w:rsidRPr="00EF3453">
        <w:rPr>
          <w:rFonts w:ascii="Arial" w:eastAsia="Times New Roman" w:hAnsi="Arial" w:cs="Arial"/>
          <w:sz w:val="26"/>
          <w:szCs w:val="26"/>
        </w:rPr>
        <w:t>Jueves 24 y viernes 25 de octubre 2019</w:t>
      </w:r>
    </w:p>
    <w:p w:rsidR="00CD73D9" w:rsidRPr="00EF3453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6"/>
          <w:szCs w:val="26"/>
        </w:rPr>
      </w:pPr>
      <w:r w:rsidRPr="00EF3453">
        <w:rPr>
          <w:rFonts w:ascii="Arial" w:eastAsia="Times New Roman" w:hAnsi="Arial" w:cs="Arial"/>
          <w:sz w:val="26"/>
          <w:szCs w:val="26"/>
        </w:rPr>
        <w:t xml:space="preserve">Universidad del Magdalena </w:t>
      </w:r>
    </w:p>
    <w:p w:rsidR="00CD73D9" w:rsidRPr="00EF3453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6"/>
          <w:szCs w:val="26"/>
        </w:rPr>
      </w:pPr>
      <w:r w:rsidRPr="00EF3453">
        <w:rPr>
          <w:rFonts w:ascii="Arial" w:eastAsia="Times New Roman" w:hAnsi="Arial" w:cs="Arial"/>
          <w:sz w:val="26"/>
          <w:szCs w:val="26"/>
        </w:rPr>
        <w:t>Facultad de Ciencias Empresariales y Económicas</w:t>
      </w:r>
    </w:p>
    <w:p w:rsidR="00CD73D9" w:rsidRPr="00EF3453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6"/>
          <w:szCs w:val="26"/>
          <w:lang w:val="es-CL"/>
        </w:rPr>
      </w:pPr>
      <w:r w:rsidRPr="00EF3453">
        <w:rPr>
          <w:rFonts w:ascii="Arial" w:eastAsia="Times New Roman" w:hAnsi="Arial" w:cs="Arial"/>
          <w:sz w:val="26"/>
          <w:szCs w:val="26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EF3453">
        <w:rPr>
          <w:rFonts w:ascii="Arial" w:eastAsia="Times New Roman" w:hAnsi="Arial" w:cs="Arial"/>
          <w:sz w:val="26"/>
          <w:szCs w:val="26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3453" w:rsidRPr="00EF3453" w:rsidRDefault="00EF3453" w:rsidP="00EF345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F345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LA COMPARABILIDAD DE LAS NORMAS CONTABLES LOCALES Y </w:t>
      </w:r>
    </w:p>
    <w:p w:rsidR="00CD73D9" w:rsidRPr="00EF3453" w:rsidRDefault="00EF3453" w:rsidP="00EF3453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F3453">
        <w:rPr>
          <w:rFonts w:ascii="Arial" w:eastAsia="Times New Roman" w:hAnsi="Arial" w:cs="Arial"/>
          <w:b/>
          <w:color w:val="000000"/>
          <w:sz w:val="28"/>
          <w:szCs w:val="28"/>
        </w:rPr>
        <w:t>LAS NORMAS INTERNACIONALES DE INFORMACIÓN FINANCIERA (NIIF)</w:t>
      </w: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3453" w:rsidRPr="00CD73D9" w:rsidRDefault="00EF3453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F3453" w:rsidRPr="00EF3453" w:rsidRDefault="00EF3453" w:rsidP="00EF3453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F3453">
        <w:rPr>
          <w:rFonts w:ascii="Arial" w:hAnsi="Arial" w:cs="Arial"/>
          <w:b/>
          <w:color w:val="000000"/>
          <w:sz w:val="24"/>
          <w:szCs w:val="24"/>
        </w:rPr>
        <w:t>Autor (es):</w:t>
      </w:r>
    </w:p>
    <w:p w:rsidR="00EF3453" w:rsidRDefault="00EF3453" w:rsidP="00EF3453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F3453">
        <w:rPr>
          <w:rFonts w:ascii="Arial" w:hAnsi="Arial" w:cs="Arial"/>
          <w:b/>
          <w:color w:val="000000"/>
          <w:sz w:val="24"/>
          <w:szCs w:val="24"/>
        </w:rPr>
        <w:t xml:space="preserve">VERON MEDINA, Carmen Stella </w:t>
      </w:r>
    </w:p>
    <w:p w:rsidR="00EF3453" w:rsidRPr="00EF3453" w:rsidRDefault="00EF3453" w:rsidP="00EF3453">
      <w:pPr>
        <w:spacing w:after="0" w:line="240" w:lineRule="auto"/>
        <w:ind w:left="720"/>
        <w:rPr>
          <w:rStyle w:val="Hipervnculo"/>
          <w:rFonts w:ascii="Arial" w:hAnsi="Arial" w:cs="Arial"/>
          <w:sz w:val="18"/>
          <w:szCs w:val="18"/>
        </w:rPr>
      </w:pPr>
      <w:r w:rsidRPr="00EF3453">
        <w:rPr>
          <w:rFonts w:ascii="Arial" w:hAnsi="Arial" w:cs="Arial"/>
          <w:color w:val="000000"/>
          <w:sz w:val="18"/>
          <w:szCs w:val="18"/>
        </w:rPr>
        <w:t xml:space="preserve">Facultad de Ciencias Económicas y Estadística – Rosario – Argentina - Área de desarrollo: Contabilidad financiera – </w:t>
      </w:r>
      <w:hyperlink r:id="rId9" w:history="1">
        <w:r w:rsidRPr="00EF3453">
          <w:rPr>
            <w:rStyle w:val="Hipervnculo"/>
            <w:rFonts w:ascii="Arial" w:hAnsi="Arial" w:cs="Arial"/>
            <w:sz w:val="18"/>
            <w:szCs w:val="18"/>
          </w:rPr>
          <w:t>cveron@fcecon.unr.edu.ar</w:t>
        </w:r>
      </w:hyperlink>
    </w:p>
    <w:p w:rsidR="00EF3453" w:rsidRPr="00EF3453" w:rsidRDefault="00EF3453" w:rsidP="00EF3453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3453" w:rsidRDefault="00EF3453" w:rsidP="00EF3453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F3453">
        <w:rPr>
          <w:rFonts w:ascii="Arial" w:hAnsi="Arial" w:cs="Arial"/>
          <w:b/>
          <w:color w:val="000000"/>
          <w:sz w:val="24"/>
          <w:szCs w:val="24"/>
        </w:rPr>
        <w:t xml:space="preserve">MARCOLINI TULLIANI, Silvina Beatriz </w:t>
      </w:r>
    </w:p>
    <w:p w:rsidR="00EF3453" w:rsidRPr="00EF3453" w:rsidRDefault="00EF3453" w:rsidP="00EF3453">
      <w:pPr>
        <w:spacing w:after="0" w:line="240" w:lineRule="auto"/>
        <w:ind w:left="720"/>
        <w:rPr>
          <w:rStyle w:val="Hipervnculo"/>
          <w:rFonts w:ascii="Arial" w:hAnsi="Arial" w:cs="Arial"/>
          <w:sz w:val="18"/>
          <w:szCs w:val="18"/>
        </w:rPr>
      </w:pPr>
      <w:r w:rsidRPr="00EF3453">
        <w:rPr>
          <w:rFonts w:ascii="Arial" w:hAnsi="Arial" w:cs="Arial"/>
          <w:color w:val="000000"/>
          <w:sz w:val="18"/>
          <w:szCs w:val="18"/>
        </w:rPr>
        <w:t xml:space="preserve">Facultad de Ciencias Económicas y Estadística – Rosario – Argentina - Área de desarrollo: Contabilidad financiera – </w:t>
      </w:r>
      <w:hyperlink r:id="rId10" w:history="1">
        <w:r w:rsidRPr="00D60B15">
          <w:rPr>
            <w:rStyle w:val="Hipervnculo"/>
            <w:rFonts w:ascii="Arial" w:hAnsi="Arial" w:cs="Arial"/>
            <w:sz w:val="18"/>
            <w:szCs w:val="18"/>
          </w:rPr>
          <w:t>smarcoli@fcecon.unr.edu.ar</w:t>
        </w:r>
      </w:hyperlink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</w:p>
    <w:p w:rsidR="00CD73D9" w:rsidRDefault="00EF3453" w:rsidP="00EF3453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EF3453">
        <w:rPr>
          <w:rFonts w:ascii="Arial" w:eastAsia="Times New Roman" w:hAnsi="Arial" w:cs="Arial"/>
          <w:b/>
          <w:i/>
          <w:color w:val="000000"/>
        </w:rPr>
        <w:t>Universidad Nacional de Rosario (Argentina)</w:t>
      </w:r>
    </w:p>
    <w:p w:rsidR="007F0340" w:rsidRDefault="007F0340" w:rsidP="00EF3453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</w:p>
    <w:p w:rsidR="007F0340" w:rsidRDefault="007F0340" w:rsidP="00EF3453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>RESUMEN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>El objetivo del trabajo es realizar un estudio comparativo entre las normas locales y las Normas Internacionales de Información Financiera (NIIF), en el contexto de Argentina y Chile.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 xml:space="preserve">El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Indice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de Comparabilidad (IC) (Gray, 1980) permitirá comparar el patrimonio neto medido de acuerdo a normas locales y de acuerdo a NIIF, estimado en dos momentos: el balance de apertura a NIIF (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〖</w:t>
      </w:r>
      <w:r w:rsidRPr="007F0340">
        <w:rPr>
          <w:rFonts w:ascii="Arial" w:eastAsia="Times New Roman" w:hAnsi="Arial" w:cs="Arial"/>
          <w:b/>
          <w:i/>
          <w:color w:val="000000"/>
        </w:rPr>
        <w:t>ICT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〗</w:t>
      </w:r>
      <w:r w:rsidRPr="007F0340">
        <w:rPr>
          <w:rFonts w:ascii="Arial" w:eastAsia="Times New Roman" w:hAnsi="Arial" w:cs="Arial"/>
          <w:b/>
          <w:i/>
          <w:color w:val="000000"/>
        </w:rPr>
        <w:t xml:space="preserve">_NIIF); y b) en el balance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reexpresado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 NIIF (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〖</w:t>
      </w:r>
      <w:r w:rsidRPr="007F0340">
        <w:rPr>
          <w:rFonts w:ascii="Arial" w:eastAsia="Times New Roman" w:hAnsi="Arial" w:cs="Arial"/>
          <w:b/>
          <w:i/>
          <w:color w:val="000000"/>
        </w:rPr>
        <w:t>IC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〗</w:t>
      </w:r>
      <w:r w:rsidRPr="007F0340">
        <w:rPr>
          <w:rFonts w:ascii="Arial" w:eastAsia="Times New Roman" w:hAnsi="Arial" w:cs="Arial"/>
          <w:b/>
          <w:i/>
          <w:color w:val="000000"/>
        </w:rPr>
        <w:t>_NIIF). El estudio se realizó en 82 empresas argentinas y 77 empresas chilenas, que presentaron sus 1º estados financieros conforme a NIIF en los años 2012 (2010), y cuya fecha de transición a NIIF fue el 1º de enero de 2011 (2009).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 xml:space="preserve">Los resultados encontrados muestran que las diferencias entre las normas locales y las NIIF se revelan e inciden al momento de la transición, y que en el caso de las empresas argentinas y chilenas estas diferencias fueron significativas. Con respecto a la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reexpresión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de la información contable a NIIF, </w:t>
      </w:r>
      <w:proofErr w:type="gramStart"/>
      <w:r w:rsidRPr="007F0340">
        <w:rPr>
          <w:rFonts w:ascii="Arial" w:eastAsia="Times New Roman" w:hAnsi="Arial" w:cs="Arial"/>
          <w:b/>
          <w:i/>
          <w:color w:val="000000"/>
        </w:rPr>
        <w:t>la incidencia de estas diferencias se ven</w:t>
      </w:r>
      <w:proofErr w:type="gramEnd"/>
      <w:r w:rsidRPr="007F0340">
        <w:rPr>
          <w:rFonts w:ascii="Arial" w:eastAsia="Times New Roman" w:hAnsi="Arial" w:cs="Arial"/>
          <w:b/>
          <w:i/>
          <w:color w:val="000000"/>
        </w:rPr>
        <w:t xml:space="preserve"> alisadas o suavizadas por la elección de la política contable que realice la empresa, ya que resultaron no significativas.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>El presente trabajo contribuye a las investigaciones sobre la comparabilidad entre normas locales y las NIIF, basados en la aplicación del Índice de Comparabilidad, constituyendo uno de los primeros que analiza separadamente el efecto de la transición a NIIF y que se realiza en el contexto latinoamericano.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>Palabras claves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 w:hint="eastAsia"/>
          <w:b/>
          <w:i/>
          <w:color w:val="000000"/>
        </w:rPr>
        <w:t>Í</w:t>
      </w:r>
      <w:r w:rsidRPr="007F0340">
        <w:rPr>
          <w:rFonts w:ascii="Arial" w:eastAsia="Times New Roman" w:hAnsi="Arial" w:cs="Arial"/>
          <w:b/>
          <w:i/>
          <w:color w:val="000000"/>
        </w:rPr>
        <w:t xml:space="preserve">ndice de comparabilidad – NIIF – Normas Locales 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>ABSTRACT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objetive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this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paper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realize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comparative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study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between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local GAAP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International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Financial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Reporting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Standards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(IFRS), in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context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Argentina and Chile.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Comparability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Index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(CI) (Gray, 1980)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allows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compare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equity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measured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according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local GAAP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restated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under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IFRS, at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two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moments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: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transition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date to IFRS (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〖</w:t>
      </w:r>
      <w:r w:rsidRPr="007F0340">
        <w:rPr>
          <w:rFonts w:ascii="Arial" w:eastAsia="Times New Roman" w:hAnsi="Arial" w:cs="Arial"/>
          <w:b/>
          <w:i/>
          <w:color w:val="000000"/>
        </w:rPr>
        <w:t>ICT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〗</w:t>
      </w:r>
      <w:r w:rsidRPr="007F0340">
        <w:rPr>
          <w:rFonts w:ascii="Arial" w:eastAsia="Times New Roman" w:hAnsi="Arial" w:cs="Arial"/>
          <w:b/>
          <w:i/>
          <w:color w:val="000000"/>
        </w:rPr>
        <w:t xml:space="preserve">_IFRS) and b)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balance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restated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</w:t>
      </w:r>
      <w:proofErr w:type="gramStart"/>
      <w:r w:rsidRPr="007F0340">
        <w:rPr>
          <w:rFonts w:ascii="Arial" w:eastAsia="Times New Roman" w:hAnsi="Arial" w:cs="Arial"/>
          <w:b/>
          <w:i/>
          <w:color w:val="000000"/>
        </w:rPr>
        <w:t>IFRS  (</w:t>
      </w:r>
      <w:proofErr w:type="gramEnd"/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〖</w:t>
      </w:r>
      <w:r w:rsidRPr="007F0340">
        <w:rPr>
          <w:rFonts w:ascii="Arial" w:eastAsia="Times New Roman" w:hAnsi="Arial" w:cs="Arial"/>
          <w:b/>
          <w:i/>
          <w:color w:val="000000"/>
        </w:rPr>
        <w:t>IC</w:t>
      </w:r>
      <w:r w:rsidRPr="007F0340">
        <w:rPr>
          <w:rFonts w:ascii="Cambria Math" w:eastAsia="Cambria Math" w:hAnsi="Cambria Math" w:cs="Cambria Math" w:hint="eastAsia"/>
          <w:b/>
          <w:i/>
          <w:color w:val="000000"/>
        </w:rPr>
        <w:t>〗</w:t>
      </w:r>
      <w:r w:rsidRPr="007F0340">
        <w:rPr>
          <w:rFonts w:ascii="Arial" w:eastAsia="Times New Roman" w:hAnsi="Arial" w:cs="Arial"/>
          <w:b/>
          <w:i/>
          <w:color w:val="000000"/>
        </w:rPr>
        <w:t xml:space="preserve">_IFRS).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study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analyze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both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times in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first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financial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statements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under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IFRS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presented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Argentine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Chilean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companies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,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across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sample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82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Argentine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companies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and 77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Chilean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companies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submitted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their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first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financial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statements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under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IFRS in 2012 (2010)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transition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gramStart"/>
      <w:r w:rsidRPr="007F0340">
        <w:rPr>
          <w:rFonts w:ascii="Arial" w:eastAsia="Times New Roman" w:hAnsi="Arial" w:cs="Arial"/>
          <w:b/>
          <w:i/>
          <w:color w:val="000000"/>
        </w:rPr>
        <w:t>date  to</w:t>
      </w:r>
      <w:proofErr w:type="gramEnd"/>
      <w:r w:rsidRPr="007F0340">
        <w:rPr>
          <w:rFonts w:ascii="Arial" w:eastAsia="Times New Roman" w:hAnsi="Arial" w:cs="Arial"/>
          <w:b/>
          <w:i/>
          <w:color w:val="000000"/>
        </w:rPr>
        <w:t xml:space="preserve"> IFRS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was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January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1, 2011 (2009). </w:t>
      </w: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results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show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that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differences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between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local GAAP and IFRS are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revealed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affected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at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transition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date, and in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Argentine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Chilean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companies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these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differences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were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significant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.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other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hand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,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incidence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differences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bookmarkStart w:id="0" w:name="_GoBack"/>
      <w:bookmarkEnd w:id="0"/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from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accounting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information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restated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IFRS, are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smoothed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discretionary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accounting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policy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Company,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since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were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not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significant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>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present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work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contributes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research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comparability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between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local GAAP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IFRS,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based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application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Comparability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Index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.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This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paper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one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first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that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isolated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analyze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effect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of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transition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to IFRS, and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that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is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carried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out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in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the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Latin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American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context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>.</w:t>
      </w:r>
    </w:p>
    <w:p w:rsidR="007F0340" w:rsidRP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7F0340">
        <w:rPr>
          <w:rFonts w:ascii="Arial" w:eastAsia="Times New Roman" w:hAnsi="Arial" w:cs="Arial"/>
          <w:b/>
          <w:i/>
          <w:color w:val="000000"/>
        </w:rPr>
        <w:t xml:space="preserve">Key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words</w:t>
      </w:r>
      <w:proofErr w:type="spellEnd"/>
    </w:p>
    <w:p w:rsidR="007F0340" w:rsidRDefault="007F0340" w:rsidP="007F034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Comparability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Pr="007F0340">
        <w:rPr>
          <w:rFonts w:ascii="Arial" w:eastAsia="Times New Roman" w:hAnsi="Arial" w:cs="Arial"/>
          <w:b/>
          <w:i/>
          <w:color w:val="000000"/>
        </w:rPr>
        <w:t>Index</w:t>
      </w:r>
      <w:proofErr w:type="spellEnd"/>
      <w:r w:rsidRPr="007F0340">
        <w:rPr>
          <w:rFonts w:ascii="Arial" w:eastAsia="Times New Roman" w:hAnsi="Arial" w:cs="Arial"/>
          <w:b/>
          <w:i/>
          <w:color w:val="000000"/>
        </w:rPr>
        <w:t xml:space="preserve"> – IFRS – Local GAAP       </w:t>
      </w:r>
    </w:p>
    <w:p w:rsidR="007F0340" w:rsidRDefault="007F0340" w:rsidP="00EF3453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</w:p>
    <w:p w:rsidR="007F0340" w:rsidRPr="00EF3453" w:rsidRDefault="007F0340" w:rsidP="00EF3453">
      <w:pPr>
        <w:spacing w:after="120"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</w:p>
    <w:sectPr w:rsidR="007F0340" w:rsidRPr="00EF3453" w:rsidSect="007F0340">
      <w:headerReference w:type="default" r:id="rId11"/>
      <w:footerReference w:type="default" r:id="rId12"/>
      <w:pgSz w:w="12240" w:h="15840" w:code="1"/>
      <w:pgMar w:top="1417" w:right="1701" w:bottom="1417" w:left="170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9" w:rsidRDefault="006F2059" w:rsidP="00F21ECF">
      <w:pPr>
        <w:spacing w:after="0" w:line="240" w:lineRule="auto"/>
      </w:pPr>
      <w:r>
        <w:separator/>
      </w:r>
    </w:p>
  </w:endnote>
  <w:endnote w:type="continuationSeparator" w:id="0">
    <w:p w:rsidR="006F2059" w:rsidRDefault="006F2059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7239CC1C" wp14:editId="2E583354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9" w:rsidRDefault="006F2059" w:rsidP="00F21ECF">
      <w:pPr>
        <w:spacing w:after="0" w:line="240" w:lineRule="auto"/>
      </w:pPr>
      <w:r>
        <w:separator/>
      </w:r>
    </w:p>
  </w:footnote>
  <w:footnote w:type="continuationSeparator" w:id="0">
    <w:p w:rsidR="006F2059" w:rsidRDefault="006F2059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93D4AAF" wp14:editId="3F671FC0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3E1F"/>
    <w:multiLevelType w:val="hybridMultilevel"/>
    <w:tmpl w:val="A9F257E0"/>
    <w:lvl w:ilvl="0" w:tplc="2586EA9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D04BD"/>
    <w:rsid w:val="00281ACD"/>
    <w:rsid w:val="003E7982"/>
    <w:rsid w:val="005B3175"/>
    <w:rsid w:val="006D5E71"/>
    <w:rsid w:val="006F2059"/>
    <w:rsid w:val="00732A09"/>
    <w:rsid w:val="007F0340"/>
    <w:rsid w:val="00966D71"/>
    <w:rsid w:val="009D3473"/>
    <w:rsid w:val="00A3227C"/>
    <w:rsid w:val="00A854B4"/>
    <w:rsid w:val="00A85B8A"/>
    <w:rsid w:val="00B47717"/>
    <w:rsid w:val="00CD73D9"/>
    <w:rsid w:val="00DC06D1"/>
    <w:rsid w:val="00E31E85"/>
    <w:rsid w:val="00EE002E"/>
    <w:rsid w:val="00EE1CF7"/>
    <w:rsid w:val="00EF3453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84726"/>
  <w15:docId w15:val="{FEEC9B90-8009-48CB-9E94-9D09AF8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arcoli@fcecon.unr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eron@fcecon.unr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BC01-9DAB-49F6-863D-8E4454F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2019-10-06T20:38:00Z</dcterms:created>
  <dcterms:modified xsi:type="dcterms:W3CDTF">2019-10-06T20:38:00Z</dcterms:modified>
</cp:coreProperties>
</file>