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4E2403E8">
            <wp:simplePos x="0" y="0"/>
            <wp:positionH relativeFrom="column">
              <wp:posOffset>1833880</wp:posOffset>
            </wp:positionH>
            <wp:positionV relativeFrom="paragraph">
              <wp:posOffset>271780</wp:posOffset>
            </wp:positionV>
            <wp:extent cx="2508250" cy="652780"/>
            <wp:effectExtent l="0" t="0" r="6350" b="0"/>
            <wp:wrapTight wrapText="bothSides">
              <wp:wrapPolygon edited="0">
                <wp:start x="0" y="0"/>
                <wp:lineTo x="0" y="21012"/>
                <wp:lineTo x="21545" y="21012"/>
                <wp:lineTo x="2154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3D9" w:rsidRDefault="00CD73D9" w:rsidP="00CD73D9">
      <w:pPr>
        <w:ind w:left="1134" w:right="1636"/>
        <w:jc w:val="center"/>
      </w:pPr>
    </w:p>
    <w:p w:rsidR="00704DC4" w:rsidRDefault="00704DC4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CD73D9" w:rsidRPr="00704DC4" w:rsidRDefault="00CD73D9" w:rsidP="00704DC4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704DC4">
        <w:rPr>
          <w:rFonts w:ascii="Arial" w:eastAsia="Times New Roman" w:hAnsi="Arial" w:cs="Arial"/>
          <w:b/>
          <w:sz w:val="36"/>
          <w:szCs w:val="36"/>
        </w:rPr>
        <w:t>XXX CONFERENCIA ACADÉMICA PERMANENTE</w:t>
      </w:r>
    </w:p>
    <w:p w:rsidR="00CD73D9" w:rsidRPr="00704DC4" w:rsidRDefault="00CD73D9" w:rsidP="00704DC4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704DC4">
        <w:rPr>
          <w:rFonts w:ascii="Arial" w:eastAsia="Times New Roman" w:hAnsi="Arial" w:cs="Arial"/>
          <w:b/>
          <w:sz w:val="36"/>
          <w:szCs w:val="36"/>
        </w:rPr>
        <w:t>DE INVESTIGACIÓN CONTABLE</w:t>
      </w:r>
    </w:p>
    <w:p w:rsidR="00CD73D9" w:rsidRPr="00704DC4" w:rsidRDefault="00CD73D9" w:rsidP="00704DC4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CD73D9" w:rsidRPr="00704DC4" w:rsidRDefault="00CD73D9" w:rsidP="00704DC4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704DC4">
        <w:rPr>
          <w:rFonts w:ascii="Arial" w:eastAsia="Times New Roman" w:hAnsi="Arial" w:cs="Arial"/>
          <w:b/>
          <w:sz w:val="36"/>
          <w:szCs w:val="36"/>
        </w:rPr>
        <w:t>ANEXO II</w:t>
      </w:r>
      <w:r w:rsidR="00704DC4">
        <w:rPr>
          <w:rFonts w:ascii="Arial" w:eastAsia="Times New Roman" w:hAnsi="Arial" w:cs="Arial"/>
          <w:b/>
          <w:sz w:val="36"/>
          <w:szCs w:val="36"/>
        </w:rPr>
        <w:t xml:space="preserve">: </w:t>
      </w:r>
      <w:r w:rsidRPr="00704DC4">
        <w:rPr>
          <w:rFonts w:ascii="Arial" w:eastAsia="Times New Roman" w:hAnsi="Arial" w:cs="Arial"/>
          <w:b/>
          <w:sz w:val="36"/>
          <w:szCs w:val="36"/>
        </w:rPr>
        <w:t>PORTADA</w:t>
      </w:r>
    </w:p>
    <w:p w:rsidR="00CD73D9" w:rsidRPr="00704DC4" w:rsidRDefault="00CD73D9" w:rsidP="00704DC4">
      <w:pPr>
        <w:spacing w:after="0" w:line="240" w:lineRule="auto"/>
        <w:ind w:left="1134" w:right="360"/>
        <w:rPr>
          <w:rFonts w:ascii="Arial" w:eastAsia="Times New Roman" w:hAnsi="Arial" w:cs="Arial"/>
          <w:b/>
        </w:rPr>
      </w:pPr>
    </w:p>
    <w:p w:rsidR="00CD73D9" w:rsidRPr="00704DC4" w:rsidRDefault="00CD73D9" w:rsidP="00704DC4">
      <w:pPr>
        <w:spacing w:after="0" w:line="240" w:lineRule="auto"/>
        <w:ind w:left="1134" w:right="927"/>
        <w:jc w:val="center"/>
        <w:rPr>
          <w:rFonts w:ascii="Arial" w:eastAsia="Times New Roman" w:hAnsi="Arial" w:cs="Arial"/>
        </w:rPr>
      </w:pPr>
      <w:r w:rsidRPr="00704DC4">
        <w:rPr>
          <w:rFonts w:ascii="Arial" w:eastAsia="Times New Roman" w:hAnsi="Arial" w:cs="Arial"/>
        </w:rPr>
        <w:t>Jueves 24 y viernes 25 de octubre 2019</w:t>
      </w:r>
    </w:p>
    <w:p w:rsidR="00CD73D9" w:rsidRPr="00704DC4" w:rsidRDefault="00CD73D9" w:rsidP="00704DC4">
      <w:pPr>
        <w:spacing w:after="0" w:line="240" w:lineRule="auto"/>
        <w:ind w:left="1134" w:right="927"/>
        <w:jc w:val="center"/>
        <w:rPr>
          <w:rFonts w:ascii="Arial" w:eastAsia="Times New Roman" w:hAnsi="Arial" w:cs="Arial"/>
        </w:rPr>
      </w:pPr>
      <w:r w:rsidRPr="00704DC4">
        <w:rPr>
          <w:rFonts w:ascii="Arial" w:eastAsia="Times New Roman" w:hAnsi="Arial" w:cs="Arial"/>
        </w:rPr>
        <w:t xml:space="preserve">Universidad del Magdalena </w:t>
      </w:r>
    </w:p>
    <w:p w:rsidR="00CD73D9" w:rsidRPr="00704DC4" w:rsidRDefault="00CD73D9" w:rsidP="00704DC4">
      <w:pPr>
        <w:spacing w:after="0" w:line="240" w:lineRule="auto"/>
        <w:ind w:left="1134" w:right="927"/>
        <w:jc w:val="center"/>
        <w:rPr>
          <w:rFonts w:ascii="Arial" w:eastAsia="Times New Roman" w:hAnsi="Arial" w:cs="Arial"/>
        </w:rPr>
      </w:pPr>
      <w:r w:rsidRPr="00704DC4">
        <w:rPr>
          <w:rFonts w:ascii="Arial" w:eastAsia="Times New Roman" w:hAnsi="Arial" w:cs="Arial"/>
        </w:rPr>
        <w:t>Facultad de Ciencias Empresariales y Económicas</w:t>
      </w:r>
    </w:p>
    <w:p w:rsidR="00CD73D9" w:rsidRPr="00704DC4" w:rsidRDefault="00CD73D9" w:rsidP="00704DC4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lang w:val="es-CL"/>
        </w:rPr>
      </w:pPr>
      <w:r w:rsidRPr="00704DC4">
        <w:rPr>
          <w:rFonts w:ascii="Arial" w:eastAsia="Times New Roman" w:hAnsi="Arial" w:cs="Arial"/>
          <w:lang w:val="es-CL"/>
        </w:rPr>
        <w:t>Contaduría Pública</w:t>
      </w:r>
    </w:p>
    <w:p w:rsidR="00CD73D9" w:rsidRPr="00704DC4" w:rsidRDefault="00CD73D9" w:rsidP="00704DC4">
      <w:pPr>
        <w:spacing w:after="0" w:line="240" w:lineRule="auto"/>
        <w:ind w:left="1134" w:right="927"/>
        <w:jc w:val="center"/>
        <w:rPr>
          <w:rFonts w:ascii="Arial" w:eastAsia="Times New Roman" w:hAnsi="Arial" w:cs="Arial"/>
        </w:rPr>
      </w:pPr>
      <w:r w:rsidRPr="00704DC4">
        <w:rPr>
          <w:rFonts w:ascii="Arial" w:eastAsia="Times New Roman" w:hAnsi="Arial" w:cs="Arial"/>
        </w:rPr>
        <w:t>Santa Marta - Colombia</w:t>
      </w:r>
    </w:p>
    <w:p w:rsidR="00CD73D9" w:rsidRDefault="00CD73D9" w:rsidP="00704D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629A" w:rsidRPr="00CD73D9" w:rsidRDefault="00C7629A" w:rsidP="00704D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73D9" w:rsidRPr="00CD73D9" w:rsidRDefault="00CD73D9" w:rsidP="00704D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Título del trabajo:</w:t>
      </w:r>
    </w:p>
    <w:p w:rsidR="00CD73D9" w:rsidRPr="00CD73D9" w:rsidRDefault="00CD73D9" w:rsidP="00704D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4B7917" w:rsidP="00704D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ESTUDIO COMPARATIVO DE LA PERFORMANCE DE FONDOS DE PENSIONES EN CHILE, PERIODO 2011-2018</w:t>
      </w:r>
    </w:p>
    <w:p w:rsidR="00C7629A" w:rsidRPr="00CD73D9" w:rsidRDefault="00C7629A" w:rsidP="00704D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704D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</w:t>
      </w:r>
      <w:r w:rsidR="00704DC4">
        <w:rPr>
          <w:rFonts w:ascii="Arial" w:eastAsia="Times New Roman" w:hAnsi="Arial" w:cs="Arial"/>
          <w:b/>
          <w:color w:val="000000"/>
          <w:sz w:val="24"/>
          <w:szCs w:val="24"/>
        </w:rPr>
        <w:t>es</w:t>
      </w: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704DC4" w:rsidRDefault="00704DC4" w:rsidP="00704D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Ricardo Méndez Romero </w:t>
      </w:r>
      <w:r w:rsidRPr="00704DC4">
        <w:rPr>
          <w:rFonts w:ascii="Arial" w:eastAsia="Times New Roman" w:hAnsi="Arial" w:cs="Arial"/>
          <w:b/>
          <w:color w:val="000000"/>
          <w:sz w:val="20"/>
          <w:szCs w:val="20"/>
        </w:rPr>
        <w:t>(1)</w:t>
      </w:r>
    </w:p>
    <w:p w:rsidR="00704DC4" w:rsidRPr="00CD73D9" w:rsidRDefault="00704DC4" w:rsidP="00704D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Hernán Rocha Pavés </w:t>
      </w:r>
      <w:r w:rsidRPr="00704DC4">
        <w:rPr>
          <w:rFonts w:ascii="Arial" w:eastAsia="Times New Roman" w:hAnsi="Arial" w:cs="Arial"/>
          <w:b/>
          <w:color w:val="000000"/>
          <w:sz w:val="20"/>
          <w:szCs w:val="20"/>
        </w:rPr>
        <w:t>(2)</w:t>
      </w:r>
    </w:p>
    <w:p w:rsidR="00CD73D9" w:rsidRPr="00CD73D9" w:rsidRDefault="00CD73D9" w:rsidP="00704DC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704D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Universidad</w:t>
      </w:r>
      <w:r w:rsidR="00704D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Magallanes - Chile</w:t>
      </w:r>
    </w:p>
    <w:p w:rsidR="00704DC4" w:rsidRDefault="00704DC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629A" w:rsidRDefault="00C7629A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629A" w:rsidRPr="00CD73D9" w:rsidRDefault="00C7629A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704DC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04DC4" w:rsidRDefault="00704DC4" w:rsidP="00704DC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4DC4">
        <w:rPr>
          <w:rFonts w:ascii="Arial" w:eastAsia="Times New Roman" w:hAnsi="Arial" w:cs="Arial"/>
          <w:color w:val="000000"/>
          <w:sz w:val="20"/>
          <w:szCs w:val="20"/>
        </w:rPr>
        <w:t>Dpto. Administración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 Economía, Facultad de Ciencias Económicas y Jurídicas</w:t>
      </w:r>
      <w:r w:rsidR="00C7629A">
        <w:rPr>
          <w:rFonts w:ascii="Arial" w:eastAsia="Times New Roman" w:hAnsi="Arial" w:cs="Arial"/>
          <w:color w:val="000000"/>
          <w:sz w:val="20"/>
          <w:szCs w:val="20"/>
        </w:rPr>
        <w:t>, Universidad de Magallanes, Punta Arenas, Chile, ricardo.mendez@umag.cl</w:t>
      </w:r>
    </w:p>
    <w:p w:rsidR="00C7629A" w:rsidRDefault="00C7629A" w:rsidP="00C7629A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4DC4">
        <w:rPr>
          <w:rFonts w:ascii="Arial" w:eastAsia="Times New Roman" w:hAnsi="Arial" w:cs="Arial"/>
          <w:color w:val="000000"/>
          <w:sz w:val="20"/>
          <w:szCs w:val="20"/>
        </w:rPr>
        <w:t>Dpto. Administración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 Economía, Facultad de Ciencias Económicas y Jurídicas, Universidad de Magallanes, Punta Arenas, Chile, hernan.rocha@umag.cl</w:t>
      </w:r>
    </w:p>
    <w:p w:rsidR="00C7629A" w:rsidRPr="00C7629A" w:rsidRDefault="00C7629A" w:rsidP="00C7629A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704DC4" w:rsidRPr="00CD73D9" w:rsidRDefault="00704DC4" w:rsidP="00704DC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CD73D9">
      <w:pPr>
        <w:ind w:left="1134" w:right="1636"/>
        <w:jc w:val="center"/>
      </w:pPr>
    </w:p>
    <w:p w:rsidR="00CB046A" w:rsidRDefault="00CB046A" w:rsidP="00CD73D9">
      <w:pPr>
        <w:ind w:left="1134" w:right="1636"/>
        <w:jc w:val="center"/>
      </w:pPr>
    </w:p>
    <w:p w:rsidR="00CB046A" w:rsidRDefault="00CB046A" w:rsidP="00CD73D9">
      <w:pPr>
        <w:ind w:left="1134" w:right="1636"/>
        <w:jc w:val="center"/>
      </w:pPr>
    </w:p>
    <w:p w:rsidR="00CB046A" w:rsidRDefault="00CB046A" w:rsidP="00CD73D9">
      <w:pPr>
        <w:ind w:left="1134" w:right="1636"/>
        <w:jc w:val="center"/>
      </w:pPr>
    </w:p>
    <w:p w:rsidR="00CB046A" w:rsidRDefault="00CB046A" w:rsidP="00CD73D9">
      <w:pPr>
        <w:ind w:left="1134" w:right="1636"/>
        <w:jc w:val="center"/>
      </w:pPr>
    </w:p>
    <w:p w:rsidR="00CB046A" w:rsidRDefault="00CB046A" w:rsidP="00CB046A">
      <w:pPr>
        <w:ind w:left="1134" w:right="1636"/>
      </w:pPr>
    </w:p>
    <w:p w:rsidR="00CB046A" w:rsidRDefault="00CB046A" w:rsidP="00CB046A">
      <w:pPr>
        <w:ind w:left="1134" w:right="1636"/>
      </w:pPr>
    </w:p>
    <w:p w:rsidR="00CB046A" w:rsidRDefault="00CB046A" w:rsidP="00CB046A">
      <w:pPr>
        <w:ind w:left="1134" w:right="1636"/>
      </w:pPr>
    </w:p>
    <w:p w:rsidR="00CB046A" w:rsidRDefault="00CB046A" w:rsidP="00CB046A">
      <w:pPr>
        <w:ind w:left="1134" w:right="1636"/>
      </w:pPr>
    </w:p>
    <w:p w:rsidR="00CB046A" w:rsidRDefault="00CB046A" w:rsidP="00CB046A">
      <w:pPr>
        <w:ind w:left="1134" w:right="1636"/>
        <w:jc w:val="both"/>
      </w:pPr>
      <w:r>
        <w:t>Resumen</w:t>
      </w:r>
    </w:p>
    <w:p w:rsidR="00CB046A" w:rsidRDefault="00CB046A" w:rsidP="00CB046A">
      <w:pPr>
        <w:ind w:left="1134" w:right="1636"/>
        <w:jc w:val="both"/>
      </w:pPr>
      <w:r>
        <w:t xml:space="preserve">Los objetivos de este estudio son: [1] Realizar un estudio comparativo de la performance de los distintos fondos de pensiones de cada una de las AFP; [2] Realizar un estudio comparativo del rendimiento histórico de los distintos fondos de pensiones de cada una de las AFP y compararlos, además, con resultados de estudios anteriores realizado por otros autores. </w:t>
      </w:r>
    </w:p>
    <w:p w:rsidR="00CB046A" w:rsidRDefault="00CB046A" w:rsidP="00CB046A">
      <w:pPr>
        <w:ind w:left="1134" w:right="1636"/>
        <w:jc w:val="both"/>
      </w:pPr>
      <w:r>
        <w:t xml:space="preserve">El alcance de esta ponencia se define como una investigación descriptiva-correlacional, debido a que se pretende identificar los resultados de la gestión de portafolios de inversión, sin manipular  las variables del problema, éstas se identifican y describen tal y como se dan en su contexto financiero, para después analizarlas desde una óptica comparativa temporal y cuantitativa, basado en el Principio de Racionalidad del Inversor de Harry </w:t>
      </w:r>
      <w:proofErr w:type="spellStart"/>
      <w:r>
        <w:t>Markowitz</w:t>
      </w:r>
      <w:proofErr w:type="spellEnd"/>
      <w:r>
        <w:t xml:space="preserve"> y aplicando como modelos de performance los índices de </w:t>
      </w:r>
      <w:proofErr w:type="spellStart"/>
      <w:r>
        <w:t>Sharpe</w:t>
      </w:r>
      <w:proofErr w:type="spellEnd"/>
      <w:r>
        <w:t xml:space="preserve">, </w:t>
      </w:r>
      <w:proofErr w:type="spellStart"/>
      <w:r>
        <w:t>Treynor</w:t>
      </w:r>
      <w:proofErr w:type="spellEnd"/>
      <w:r>
        <w:t>, Jensen y ratio Omega.</w:t>
      </w:r>
    </w:p>
    <w:p w:rsidR="00CB046A" w:rsidRDefault="00CB046A" w:rsidP="00CB046A">
      <w:pPr>
        <w:ind w:left="1134" w:right="1636"/>
        <w:jc w:val="both"/>
      </w:pPr>
      <w:r>
        <w:t xml:space="preserve">Un resultado importante observado es que, para este periodo de 8 años, todas las AFP y fondos presentan rendimientos medios mensuales positivos, </w:t>
      </w:r>
      <w:proofErr w:type="spellStart"/>
      <w:r>
        <w:t>aún</w:t>
      </w:r>
      <w:proofErr w:type="spellEnd"/>
      <w:r>
        <w:t xml:space="preserve"> cuando los años 2011 y 2018 arrojan pérdidas, especialmente los fondos A, B y C. Por su parte el referente del mercado (IPSA) muestra un rendimiento negativo. </w:t>
      </w:r>
      <w:proofErr w:type="gramStart"/>
      <w:r>
        <w:t>Los ratios</w:t>
      </w:r>
      <w:proofErr w:type="gramEnd"/>
      <w:r>
        <w:t xml:space="preserve"> de performance financiera son todos positivos, lo que indica que se satisface la relación rendimiento/riesgo. </w:t>
      </w:r>
    </w:p>
    <w:p w:rsidR="00CB046A" w:rsidRDefault="00CB046A" w:rsidP="00CB046A">
      <w:pPr>
        <w:ind w:left="1134" w:right="1636"/>
        <w:jc w:val="both"/>
      </w:pPr>
      <w:r>
        <w:tab/>
        <w:t xml:space="preserve">Los rendimientos diferentes entre AFP e IPSA, se explican porque los fondos de pensiones tienen un alto porcentaje de inversiones en el extranjero e incluyen instrumentos de renta fija. Una comparación más pertinente sería referenciar los resultados reales con los de una cartera ficticia equivalente, pero a la fecha, no hay estudios que permitan definir los parámetros necesarios para formar dicha cartera. </w:t>
      </w:r>
      <w:proofErr w:type="gramStart"/>
      <w:r>
        <w:t>Los ratios no tradicionales</w:t>
      </w:r>
      <w:proofErr w:type="gramEnd"/>
      <w:r>
        <w:t>, como el Omega, son coincidentes cuando las distribuciones de los resultados tienen una configuración normal. Además, se comparte la conclusión con estudios anteriores, que las AFP tienden a mantener carteras parecidas entre sí, tratando de no quedar por debajo de la rentabilidad del sistema.</w:t>
      </w:r>
    </w:p>
    <w:p w:rsidR="00CB046A" w:rsidRDefault="00CB046A" w:rsidP="00CB046A">
      <w:pPr>
        <w:ind w:left="1134" w:right="1636"/>
        <w:jc w:val="both"/>
      </w:pPr>
    </w:p>
    <w:p w:rsidR="00CB046A" w:rsidRDefault="00CB046A" w:rsidP="00CB046A">
      <w:pPr>
        <w:ind w:left="1134" w:right="1636"/>
        <w:jc w:val="both"/>
      </w:pPr>
      <w:r>
        <w:t xml:space="preserve">Palabras claves: Performance, evaluación, </w:t>
      </w:r>
      <w:proofErr w:type="spellStart"/>
      <w:r>
        <w:t>multifondos</w:t>
      </w:r>
      <w:proofErr w:type="spellEnd"/>
      <w:r>
        <w:t>, pensiones, rentabilidad, riesgo</w:t>
      </w:r>
    </w:p>
    <w:p w:rsidR="00CB046A" w:rsidRDefault="00CB046A" w:rsidP="00CB046A">
      <w:pPr>
        <w:ind w:left="1134" w:right="1636"/>
        <w:jc w:val="both"/>
      </w:pPr>
    </w:p>
    <w:p w:rsidR="00CB046A" w:rsidRDefault="00CB046A" w:rsidP="00CB046A">
      <w:pPr>
        <w:ind w:left="1134" w:right="1636"/>
        <w:jc w:val="both"/>
      </w:pPr>
    </w:p>
    <w:p w:rsidR="00CB046A" w:rsidRDefault="00CB046A" w:rsidP="00CB046A">
      <w:pPr>
        <w:ind w:left="1134" w:right="1636"/>
        <w:jc w:val="both"/>
      </w:pPr>
      <w:r>
        <w:lastRenderedPageBreak/>
        <w:t>COMPARATIVE STUDY OF PERFORMANCE OF PENSION FUNDS IN CHILE, PERIOD 2011-2018</w:t>
      </w:r>
    </w:p>
    <w:p w:rsidR="00CB046A" w:rsidRDefault="00CB046A" w:rsidP="00CB046A">
      <w:pPr>
        <w:ind w:left="1134" w:right="1636"/>
        <w:jc w:val="both"/>
      </w:pPr>
    </w:p>
    <w:p w:rsidR="00CB046A" w:rsidRDefault="00CB046A" w:rsidP="00CB046A">
      <w:pPr>
        <w:ind w:left="1134" w:right="1636"/>
        <w:jc w:val="both"/>
      </w:pPr>
      <w:proofErr w:type="spellStart"/>
      <w:r>
        <w:t>Abstract</w:t>
      </w:r>
      <w:proofErr w:type="spellEnd"/>
    </w:p>
    <w:p w:rsidR="00CB046A" w:rsidRDefault="00CB046A" w:rsidP="00CB046A">
      <w:pPr>
        <w:ind w:left="1134" w:right="1636"/>
        <w:jc w:val="both"/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are: [1]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performance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AFPs</w:t>
      </w:r>
      <w:proofErr w:type="spellEnd"/>
      <w:r>
        <w:t xml:space="preserve">; [2]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performance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AFPs</w:t>
      </w:r>
      <w:proofErr w:type="spellEnd"/>
      <w:r>
        <w:t xml:space="preserve"> and compare </w:t>
      </w:r>
      <w:proofErr w:type="spellStart"/>
      <w:r>
        <w:t>them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authors</w:t>
      </w:r>
      <w:proofErr w:type="spellEnd"/>
      <w:r>
        <w:t>.</w:t>
      </w:r>
    </w:p>
    <w:p w:rsidR="00CB046A" w:rsidRDefault="00CB046A" w:rsidP="00CB046A">
      <w:pPr>
        <w:ind w:left="1134" w:right="1636"/>
        <w:jc w:val="both"/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as a </w:t>
      </w:r>
      <w:proofErr w:type="spellStart"/>
      <w:r>
        <w:t>descriptive-correlational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of </w:t>
      </w:r>
      <w:proofErr w:type="spellStart"/>
      <w:r>
        <w:t>investment</w:t>
      </w:r>
      <w:proofErr w:type="spellEnd"/>
      <w:r>
        <w:t xml:space="preserve"> portfolios,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manipulating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variables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identified</w:t>
      </w:r>
      <w:proofErr w:type="spellEnd"/>
      <w:r>
        <w:t xml:space="preserve"> and </w:t>
      </w:r>
      <w:proofErr w:type="spellStart"/>
      <w:r>
        <w:t>described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, to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temporal and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Investor </w:t>
      </w:r>
      <w:proofErr w:type="spellStart"/>
      <w:r>
        <w:t>Rationality</w:t>
      </w:r>
      <w:proofErr w:type="spellEnd"/>
      <w:r>
        <w:t xml:space="preserve"> of Harry </w:t>
      </w:r>
      <w:proofErr w:type="spellStart"/>
      <w:r>
        <w:t>Markowitz</w:t>
      </w:r>
      <w:proofErr w:type="spellEnd"/>
      <w:r>
        <w:t xml:space="preserve"> and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Sharpe</w:t>
      </w:r>
      <w:proofErr w:type="spellEnd"/>
      <w:r>
        <w:t xml:space="preserve">, </w:t>
      </w:r>
      <w:proofErr w:type="spellStart"/>
      <w:r>
        <w:t>Treynor</w:t>
      </w:r>
      <w:proofErr w:type="spellEnd"/>
      <w:r>
        <w:t xml:space="preserve">, Jensen and Omega ratio as performance </w:t>
      </w:r>
      <w:proofErr w:type="spellStart"/>
      <w:r>
        <w:t>models</w:t>
      </w:r>
      <w:proofErr w:type="spellEnd"/>
      <w:r>
        <w:t>.</w:t>
      </w:r>
    </w:p>
    <w:p w:rsidR="00CB046A" w:rsidRDefault="00CB046A" w:rsidP="00CB046A">
      <w:pPr>
        <w:ind w:left="1134" w:right="1636"/>
        <w:jc w:val="both"/>
      </w:pPr>
      <w:r>
        <w:tab/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8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AFPs</w:t>
      </w:r>
      <w:proofErr w:type="spellEnd"/>
      <w:r>
        <w:t xml:space="preserve"> and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positive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2011 and 2018 show </w:t>
      </w:r>
      <w:proofErr w:type="spellStart"/>
      <w:r>
        <w:t>losses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A, B and C.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benchmark</w:t>
      </w:r>
      <w:proofErr w:type="spellEnd"/>
      <w:r>
        <w:t xml:space="preserve"> of </w:t>
      </w:r>
      <w:proofErr w:type="spellStart"/>
      <w:r>
        <w:t>Market</w:t>
      </w:r>
      <w:proofErr w:type="spellEnd"/>
      <w:r>
        <w:t xml:space="preserve"> (IPSA) shows a </w:t>
      </w:r>
      <w:proofErr w:type="spellStart"/>
      <w:r>
        <w:t>negative</w:t>
      </w:r>
      <w:proofErr w:type="spellEnd"/>
      <w:r>
        <w:t xml:space="preserve"> performance.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performance ratios are </w:t>
      </w:r>
      <w:proofErr w:type="spellStart"/>
      <w:r>
        <w:t>all</w:t>
      </w:r>
      <w:proofErr w:type="spellEnd"/>
      <w:r>
        <w:t xml:space="preserve"> positive,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/ </w:t>
      </w:r>
      <w:proofErr w:type="spellStart"/>
      <w:r>
        <w:t>risk</w:t>
      </w:r>
      <w:proofErr w:type="spellEnd"/>
      <w:r>
        <w:t xml:space="preserve"> ratio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>.</w:t>
      </w:r>
    </w:p>
    <w:p w:rsidR="00CB046A" w:rsidRDefault="00CB046A" w:rsidP="00CB046A">
      <w:pPr>
        <w:ind w:left="1134" w:right="1636"/>
        <w:jc w:val="both"/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AFP and IPSA are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of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and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. A more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to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actual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fictitious</w:t>
      </w:r>
      <w:proofErr w:type="spellEnd"/>
      <w:r>
        <w:t xml:space="preserve"> portfolio, </w:t>
      </w:r>
      <w:proofErr w:type="spellStart"/>
      <w:r>
        <w:t>but</w:t>
      </w:r>
      <w:proofErr w:type="spellEnd"/>
      <w:r>
        <w:t xml:space="preserve"> to date,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portfolio. Non-</w:t>
      </w:r>
      <w:proofErr w:type="spellStart"/>
      <w:r>
        <w:t>traditional</w:t>
      </w:r>
      <w:proofErr w:type="spellEnd"/>
      <w:r>
        <w:t xml:space="preserve"> ratios, </w:t>
      </w:r>
      <w:proofErr w:type="spellStart"/>
      <w:r>
        <w:t>such</w:t>
      </w:r>
      <w:proofErr w:type="spellEnd"/>
      <w:r>
        <w:t xml:space="preserve"> as Omega, are </w:t>
      </w:r>
      <w:proofErr w:type="spellStart"/>
      <w:r>
        <w:t>coincident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normal </w:t>
      </w:r>
      <w:proofErr w:type="spellStart"/>
      <w:r>
        <w:t>configuration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bookmarkStart w:id="0" w:name="_GoBack"/>
      <w:bookmarkEnd w:id="0"/>
      <w:proofErr w:type="spellStart"/>
      <w:r>
        <w:t>previous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AFPs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portfolios similar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profitability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CB046A" w:rsidRDefault="00CB046A" w:rsidP="00CB046A">
      <w:pPr>
        <w:ind w:left="1134" w:right="1636"/>
        <w:jc w:val="both"/>
      </w:pPr>
    </w:p>
    <w:p w:rsidR="00CB046A" w:rsidRDefault="00CB046A" w:rsidP="00CB046A">
      <w:pPr>
        <w:ind w:left="1134" w:right="1636"/>
        <w:jc w:val="both"/>
      </w:pPr>
      <w:proofErr w:type="spellStart"/>
      <w:r>
        <w:t>Keywords</w:t>
      </w:r>
      <w:proofErr w:type="spellEnd"/>
      <w:r>
        <w:t xml:space="preserve">: Performance, </w:t>
      </w:r>
      <w:proofErr w:type="spellStart"/>
      <w:r>
        <w:t>evaluation</w:t>
      </w:r>
      <w:proofErr w:type="spellEnd"/>
      <w:r>
        <w:t xml:space="preserve">, </w:t>
      </w:r>
      <w:proofErr w:type="spellStart"/>
      <w:r>
        <w:t>multifunds</w:t>
      </w:r>
      <w:proofErr w:type="spellEnd"/>
      <w:r>
        <w:t xml:space="preserve">, </w:t>
      </w:r>
      <w:proofErr w:type="spellStart"/>
      <w:r>
        <w:t>pensions</w:t>
      </w:r>
      <w:proofErr w:type="spellEnd"/>
      <w:r>
        <w:t xml:space="preserve">, </w:t>
      </w:r>
      <w:proofErr w:type="spellStart"/>
      <w:r>
        <w:t>profitability</w:t>
      </w:r>
      <w:proofErr w:type="spellEnd"/>
      <w:r>
        <w:t xml:space="preserve">, </w:t>
      </w:r>
      <w:proofErr w:type="spellStart"/>
      <w:r>
        <w:t>risk</w:t>
      </w:r>
      <w:proofErr w:type="spellEnd"/>
    </w:p>
    <w:p w:rsidR="00CB046A" w:rsidRDefault="00CB046A" w:rsidP="00CB046A">
      <w:pPr>
        <w:ind w:left="1134" w:right="1636"/>
        <w:jc w:val="both"/>
      </w:pPr>
    </w:p>
    <w:p w:rsidR="00CB046A" w:rsidRDefault="00CB046A" w:rsidP="00CB046A">
      <w:pPr>
        <w:ind w:left="1134" w:right="1636"/>
        <w:jc w:val="both"/>
      </w:pPr>
    </w:p>
    <w:sectPr w:rsidR="00CB046A" w:rsidSect="00704DC4">
      <w:headerReference w:type="default" r:id="rId8"/>
      <w:footerReference w:type="default" r:id="rId9"/>
      <w:pgSz w:w="12240" w:h="15840" w:code="1"/>
      <w:pgMar w:top="851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79" w:rsidRDefault="007E5F79" w:rsidP="00F21ECF">
      <w:pPr>
        <w:spacing w:after="0" w:line="240" w:lineRule="auto"/>
      </w:pPr>
      <w:r>
        <w:separator/>
      </w:r>
    </w:p>
  </w:endnote>
  <w:endnote w:type="continuationSeparator" w:id="0">
    <w:p w:rsidR="007E5F79" w:rsidRDefault="007E5F79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79" w:rsidRDefault="007E5F79" w:rsidP="00F21ECF">
      <w:pPr>
        <w:spacing w:after="0" w:line="240" w:lineRule="auto"/>
      </w:pPr>
      <w:r>
        <w:separator/>
      </w:r>
    </w:p>
  </w:footnote>
  <w:footnote w:type="continuationSeparator" w:id="0">
    <w:p w:rsidR="007E5F79" w:rsidRDefault="007E5F79" w:rsidP="00F2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-65224</wp:posOffset>
          </wp:positionH>
          <wp:positionV relativeFrom="paragraph">
            <wp:posOffset>-471714</wp:posOffset>
          </wp:positionV>
          <wp:extent cx="7844367" cy="827314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178" cy="83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50A"/>
    <w:multiLevelType w:val="hybridMultilevel"/>
    <w:tmpl w:val="C00E4E7A"/>
    <w:lvl w:ilvl="0" w:tplc="22B6E4A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115EF0"/>
    <w:rsid w:val="00125020"/>
    <w:rsid w:val="001D04BD"/>
    <w:rsid w:val="00281ACD"/>
    <w:rsid w:val="003E7982"/>
    <w:rsid w:val="004B7917"/>
    <w:rsid w:val="005141C1"/>
    <w:rsid w:val="005B3175"/>
    <w:rsid w:val="006D5E71"/>
    <w:rsid w:val="00704DC4"/>
    <w:rsid w:val="00732A09"/>
    <w:rsid w:val="007E5F79"/>
    <w:rsid w:val="0090577A"/>
    <w:rsid w:val="00966D71"/>
    <w:rsid w:val="009D3473"/>
    <w:rsid w:val="00A3227C"/>
    <w:rsid w:val="00A854B4"/>
    <w:rsid w:val="00A85B8A"/>
    <w:rsid w:val="00B47717"/>
    <w:rsid w:val="00BE5FBD"/>
    <w:rsid w:val="00C7629A"/>
    <w:rsid w:val="00CB046A"/>
    <w:rsid w:val="00CD73D9"/>
    <w:rsid w:val="00DC06D1"/>
    <w:rsid w:val="00E31E85"/>
    <w:rsid w:val="00EE002E"/>
    <w:rsid w:val="00EE1CF7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84F62"/>
  <w15:docId w15:val="{F10F5A03-0632-4282-8546-ACB0A60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4D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629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6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2019-10-06T16:08:00Z</dcterms:created>
  <dcterms:modified xsi:type="dcterms:W3CDTF">2019-10-06T16:08:00Z</dcterms:modified>
</cp:coreProperties>
</file>